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F81002">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 оцінка</w:t>
      </w:r>
      <w:r w:rsidR="00811BA4">
        <w:rPr>
          <w:sz w:val="24"/>
          <w:szCs w:val="24"/>
          <w:lang w:val="uk-UA"/>
        </w:rPr>
        <w:t xml:space="preserve"> </w:t>
      </w:r>
      <w:r w:rsidR="00F81002" w:rsidRPr="00F81002">
        <w:rPr>
          <w:sz w:val="24"/>
          <w:szCs w:val="24"/>
          <w:lang w:val="uk-UA"/>
        </w:rPr>
        <w:t>«Проекту детального</w:t>
      </w:r>
      <w:r w:rsidR="00F81002">
        <w:rPr>
          <w:sz w:val="24"/>
          <w:szCs w:val="24"/>
          <w:lang w:val="uk-UA"/>
        </w:rPr>
        <w:t xml:space="preserve"> планування території на вулиці </w:t>
      </w:r>
      <w:r w:rsidR="00F81002" w:rsidRPr="00F81002">
        <w:rPr>
          <w:sz w:val="24"/>
          <w:szCs w:val="24"/>
          <w:lang w:val="uk-UA"/>
        </w:rPr>
        <w:t>Хіміків орієнтовною площею 0,1200 га (дл</w:t>
      </w:r>
      <w:r w:rsidR="00F81002">
        <w:rPr>
          <w:sz w:val="24"/>
          <w:szCs w:val="24"/>
          <w:lang w:val="uk-UA"/>
        </w:rPr>
        <w:t xml:space="preserve">я будівництва та обслуговування </w:t>
      </w:r>
      <w:r w:rsidR="00F81002" w:rsidRPr="00F81002">
        <w:rPr>
          <w:sz w:val="24"/>
          <w:szCs w:val="24"/>
          <w:lang w:val="uk-UA"/>
        </w:rPr>
        <w:t>будівель торгівлі)»</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811BA4">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 xml:space="preserve">передбачено будівництво </w:t>
      </w:r>
      <w:r w:rsidR="00F81002">
        <w:rPr>
          <w:sz w:val="24"/>
          <w:szCs w:val="24"/>
          <w:lang w:val="uk-UA"/>
        </w:rPr>
        <w:t>будівель торгівлі (магазину)</w:t>
      </w:r>
      <w:r w:rsidR="00811BA4" w:rsidRPr="00811BA4">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E2372C" w:rsidRDefault="00E2372C" w:rsidP="00F07CB6">
      <w:pPr>
        <w:pStyle w:val="a9"/>
        <w:spacing w:after="0" w:line="276" w:lineRule="auto"/>
        <w:ind w:left="-567" w:right="-426" w:firstLine="709"/>
        <w:jc w:val="both"/>
        <w:rPr>
          <w:bCs/>
          <w:sz w:val="24"/>
          <w:szCs w:val="24"/>
          <w:lang w:val="uk-UA"/>
        </w:rPr>
      </w:pPr>
      <w:r>
        <w:rPr>
          <w:bCs/>
          <w:sz w:val="24"/>
          <w:szCs w:val="24"/>
          <w:lang w:val="uk-UA"/>
        </w:rPr>
        <w:t>Проектний план розроблений в межах охоплених топографічною зйомкою те</w:t>
      </w:r>
      <w:r w:rsidR="000D100C">
        <w:rPr>
          <w:bCs/>
          <w:sz w:val="24"/>
          <w:szCs w:val="24"/>
          <w:lang w:val="uk-UA"/>
        </w:rPr>
        <w:t>риторії по вул. Євшана</w:t>
      </w:r>
      <w:r>
        <w:rPr>
          <w:bCs/>
          <w:sz w:val="24"/>
          <w:szCs w:val="24"/>
          <w:lang w:val="uk-UA"/>
        </w:rPr>
        <w:t xml:space="preserve"> в </w:t>
      </w:r>
      <w:proofErr w:type="spellStart"/>
      <w:r>
        <w:rPr>
          <w:bCs/>
          <w:sz w:val="24"/>
          <w:szCs w:val="24"/>
          <w:lang w:val="uk-UA"/>
        </w:rPr>
        <w:t>м.Калуші</w:t>
      </w:r>
      <w:proofErr w:type="spellEnd"/>
      <w:r>
        <w:rPr>
          <w:bCs/>
          <w:sz w:val="24"/>
          <w:szCs w:val="24"/>
          <w:lang w:val="uk-UA"/>
        </w:rPr>
        <w:t>.</w:t>
      </w:r>
    </w:p>
    <w:p w:rsidR="00DF7115" w:rsidRDefault="00DF7115" w:rsidP="00F07CB6">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F81002" w:rsidRPr="00F81002" w:rsidRDefault="00F81002" w:rsidP="00CC4D26">
      <w:pPr>
        <w:pStyle w:val="a9"/>
        <w:spacing w:after="0" w:line="276" w:lineRule="auto"/>
        <w:ind w:left="-567" w:right="-426" w:firstLine="709"/>
        <w:jc w:val="both"/>
        <w:rPr>
          <w:sz w:val="24"/>
          <w:szCs w:val="24"/>
          <w:lang w:val="uk-UA"/>
        </w:rPr>
      </w:pPr>
      <w:r w:rsidRPr="00F81002">
        <w:rPr>
          <w:sz w:val="24"/>
          <w:szCs w:val="24"/>
          <w:lang w:val="uk-UA"/>
        </w:rPr>
        <w:t>Земельна ділянка, площею 0,1200 га, що р</w:t>
      </w:r>
      <w:r w:rsidR="00CC4D26">
        <w:rPr>
          <w:sz w:val="24"/>
          <w:szCs w:val="24"/>
          <w:lang w:val="uk-UA"/>
        </w:rPr>
        <w:t xml:space="preserve">озташована на вул. Хіміків у м. </w:t>
      </w:r>
      <w:proofErr w:type="spellStart"/>
      <w:r w:rsidRPr="00F81002">
        <w:rPr>
          <w:sz w:val="24"/>
          <w:szCs w:val="24"/>
          <w:lang w:val="uk-UA"/>
        </w:rPr>
        <w:t>Калуші</w:t>
      </w:r>
      <w:proofErr w:type="spellEnd"/>
      <w:r w:rsidRPr="00F81002">
        <w:rPr>
          <w:sz w:val="24"/>
          <w:szCs w:val="24"/>
          <w:lang w:val="uk-UA"/>
        </w:rPr>
        <w:t>, Івано-Франківської області.</w:t>
      </w:r>
    </w:p>
    <w:p w:rsidR="00F81002" w:rsidRPr="00F81002" w:rsidRDefault="00F81002" w:rsidP="00F81002">
      <w:pPr>
        <w:pStyle w:val="a9"/>
        <w:spacing w:after="0" w:line="276" w:lineRule="auto"/>
        <w:ind w:left="-567" w:right="-426" w:firstLine="709"/>
        <w:jc w:val="both"/>
        <w:rPr>
          <w:sz w:val="24"/>
          <w:szCs w:val="24"/>
          <w:lang w:val="uk-UA"/>
        </w:rPr>
      </w:pPr>
      <w:r w:rsidRPr="00F81002">
        <w:rPr>
          <w:sz w:val="24"/>
          <w:szCs w:val="24"/>
          <w:lang w:val="uk-UA"/>
        </w:rPr>
        <w:t>Ділянка межує:</w:t>
      </w:r>
    </w:p>
    <w:p w:rsidR="00F81002" w:rsidRPr="00F81002" w:rsidRDefault="00F81002" w:rsidP="00CC4D26">
      <w:pPr>
        <w:pStyle w:val="a9"/>
        <w:spacing w:after="0" w:line="276" w:lineRule="auto"/>
        <w:ind w:left="-567" w:right="-426" w:firstLine="709"/>
        <w:jc w:val="both"/>
        <w:rPr>
          <w:sz w:val="24"/>
          <w:szCs w:val="24"/>
          <w:lang w:val="uk-UA"/>
        </w:rPr>
      </w:pPr>
      <w:r w:rsidRPr="00F81002">
        <w:rPr>
          <w:sz w:val="24"/>
          <w:szCs w:val="24"/>
          <w:lang w:val="uk-UA"/>
        </w:rPr>
        <w:t>З південно-східної сторони – з земель</w:t>
      </w:r>
      <w:r w:rsidR="00CC4D26">
        <w:rPr>
          <w:sz w:val="24"/>
          <w:szCs w:val="24"/>
          <w:lang w:val="uk-UA"/>
        </w:rPr>
        <w:t xml:space="preserve">ною ділянкою для будівництва та </w:t>
      </w:r>
      <w:r w:rsidRPr="00F81002">
        <w:rPr>
          <w:sz w:val="24"/>
          <w:szCs w:val="24"/>
          <w:lang w:val="uk-UA"/>
        </w:rPr>
        <w:t>обслуговування інших будівель громадської забудови</w:t>
      </w:r>
      <w:r w:rsidR="00CC4D26">
        <w:rPr>
          <w:sz w:val="24"/>
          <w:szCs w:val="24"/>
          <w:lang w:val="uk-UA"/>
        </w:rPr>
        <w:t xml:space="preserve"> для реконструкції викупленого </w:t>
      </w:r>
      <w:r w:rsidRPr="00F81002">
        <w:rPr>
          <w:sz w:val="24"/>
          <w:szCs w:val="24"/>
          <w:lang w:val="uk-UA"/>
        </w:rPr>
        <w:t>нежитлового приміщення під кафе, з південно-</w:t>
      </w:r>
      <w:r w:rsidR="00CC4D26">
        <w:rPr>
          <w:sz w:val="24"/>
          <w:szCs w:val="24"/>
          <w:lang w:val="uk-UA"/>
        </w:rPr>
        <w:t xml:space="preserve">західної - з дорогою загального </w:t>
      </w:r>
      <w:r w:rsidRPr="00F81002">
        <w:rPr>
          <w:sz w:val="24"/>
          <w:szCs w:val="24"/>
          <w:lang w:val="uk-UA"/>
        </w:rPr>
        <w:t>користування вулиці Хіміків, з південно-західно</w:t>
      </w:r>
      <w:r w:rsidR="00CC4D26">
        <w:rPr>
          <w:sz w:val="24"/>
          <w:szCs w:val="24"/>
          <w:lang w:val="uk-UA"/>
        </w:rPr>
        <w:t xml:space="preserve">ї - з землями для будівництва і </w:t>
      </w:r>
      <w:r w:rsidRPr="00F81002">
        <w:rPr>
          <w:sz w:val="24"/>
          <w:szCs w:val="24"/>
          <w:lang w:val="uk-UA"/>
        </w:rPr>
        <w:t>обслуговування житлового будинку, господарських будівель і споруд та п</w:t>
      </w:r>
      <w:r w:rsidR="00CC4D26">
        <w:rPr>
          <w:sz w:val="24"/>
          <w:szCs w:val="24"/>
          <w:lang w:val="uk-UA"/>
        </w:rPr>
        <w:t xml:space="preserve">івнічно- </w:t>
      </w:r>
      <w:r w:rsidRPr="00F81002">
        <w:rPr>
          <w:sz w:val="24"/>
          <w:szCs w:val="24"/>
          <w:lang w:val="uk-UA"/>
        </w:rPr>
        <w:t>східної сторін – з землями для будівництва і об</w:t>
      </w:r>
      <w:r w:rsidR="00CC4D26">
        <w:rPr>
          <w:sz w:val="24"/>
          <w:szCs w:val="24"/>
          <w:lang w:val="uk-UA"/>
        </w:rPr>
        <w:t xml:space="preserve">слуговування житлового будинку, </w:t>
      </w:r>
      <w:r w:rsidRPr="00F81002">
        <w:rPr>
          <w:sz w:val="24"/>
          <w:szCs w:val="24"/>
          <w:lang w:val="uk-UA"/>
        </w:rPr>
        <w:t>господарських будівель і споруд.</w:t>
      </w:r>
    </w:p>
    <w:p w:rsidR="00F81002" w:rsidRDefault="00F81002" w:rsidP="00F81002">
      <w:pPr>
        <w:pStyle w:val="a9"/>
        <w:spacing w:after="0" w:line="276" w:lineRule="auto"/>
        <w:ind w:left="-567" w:right="-426" w:firstLine="709"/>
        <w:jc w:val="both"/>
        <w:rPr>
          <w:sz w:val="24"/>
          <w:szCs w:val="24"/>
          <w:lang w:val="uk-UA"/>
        </w:rPr>
      </w:pPr>
      <w:r w:rsidRPr="00F81002">
        <w:rPr>
          <w:sz w:val="24"/>
          <w:szCs w:val="24"/>
          <w:lang w:val="uk-UA"/>
        </w:rPr>
        <w:t>Рельєф рівнинний по всій довжині ділянки.</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E60438" w:rsidRDefault="00E60438" w:rsidP="00E60438">
      <w:pPr>
        <w:spacing w:line="276" w:lineRule="auto"/>
        <w:ind w:left="-567" w:right="-426" w:firstLine="706"/>
        <w:jc w:val="both"/>
        <w:rPr>
          <w:sz w:val="24"/>
          <w:szCs w:val="24"/>
          <w:lang w:val="uk-UA"/>
        </w:rPr>
      </w:pPr>
      <w:r w:rsidRPr="00E60438">
        <w:rPr>
          <w:sz w:val="24"/>
          <w:szCs w:val="24"/>
          <w:lang w:val="uk-UA"/>
        </w:rPr>
        <w:lastRenderedPageBreak/>
        <w:t>На охопленій проектом детального плану те</w:t>
      </w:r>
      <w:r>
        <w:rPr>
          <w:sz w:val="24"/>
          <w:szCs w:val="24"/>
          <w:lang w:val="uk-UA"/>
        </w:rPr>
        <w:t xml:space="preserve">риторії передбачено будівництво </w:t>
      </w:r>
      <w:r w:rsidR="00F81002">
        <w:rPr>
          <w:sz w:val="24"/>
          <w:szCs w:val="24"/>
          <w:lang w:val="uk-UA"/>
        </w:rPr>
        <w:t>будівель торгівлі (магазину)</w:t>
      </w:r>
      <w:r w:rsidRPr="00E60438">
        <w:rPr>
          <w:sz w:val="24"/>
          <w:szCs w:val="24"/>
          <w:lang w:val="uk-UA"/>
        </w:rPr>
        <w:t>.</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Основні орієнтовні техніко-економічні показники :</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Площа земельної ділянки – 0,1200 га;</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Площа забудови земельної ділянки – 204 м 2 ;</w:t>
      </w:r>
    </w:p>
    <w:p w:rsidR="00F81002" w:rsidRPr="00F81002" w:rsidRDefault="00F81002" w:rsidP="00F81002">
      <w:pPr>
        <w:spacing w:line="276" w:lineRule="auto"/>
        <w:ind w:left="-567" w:right="-426" w:firstLine="706"/>
        <w:jc w:val="both"/>
        <w:rPr>
          <w:sz w:val="24"/>
          <w:szCs w:val="24"/>
          <w:lang w:val="uk-UA"/>
        </w:rPr>
      </w:pPr>
      <w:r w:rsidRPr="00F81002">
        <w:rPr>
          <w:sz w:val="24"/>
          <w:szCs w:val="24"/>
          <w:lang w:val="uk-UA"/>
        </w:rPr>
        <w:t>- Максимальна висота проектних будівель – 15 м;</w:t>
      </w:r>
    </w:p>
    <w:p w:rsidR="00F81002" w:rsidRPr="00E60438" w:rsidRDefault="00F81002" w:rsidP="00F81002">
      <w:pPr>
        <w:spacing w:line="276" w:lineRule="auto"/>
        <w:ind w:left="-567" w:right="-426" w:firstLine="706"/>
        <w:jc w:val="both"/>
        <w:rPr>
          <w:sz w:val="24"/>
          <w:szCs w:val="24"/>
          <w:lang w:val="uk-UA"/>
        </w:rPr>
      </w:pPr>
      <w:r w:rsidRPr="00F81002">
        <w:rPr>
          <w:sz w:val="24"/>
          <w:szCs w:val="24"/>
          <w:lang w:val="uk-UA"/>
        </w:rPr>
        <w:t>- Відсоток забудови земельної ділянки - 17%</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Водопос</w:t>
      </w:r>
      <w:r w:rsidR="00F81002">
        <w:rPr>
          <w:sz w:val="24"/>
          <w:szCs w:val="24"/>
          <w:lang w:val="uk-UA"/>
        </w:rPr>
        <w:t xml:space="preserve">тачання: </w:t>
      </w:r>
      <w:r w:rsidR="00F81002" w:rsidRPr="00F81002">
        <w:rPr>
          <w:sz w:val="24"/>
          <w:szCs w:val="24"/>
          <w:lang w:val="uk-UA"/>
        </w:rPr>
        <w:t>підключення до існуючих водопровідних мереж.</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Система кан</w:t>
      </w:r>
      <w:r w:rsidR="00F81002">
        <w:rPr>
          <w:sz w:val="24"/>
          <w:szCs w:val="24"/>
          <w:lang w:val="uk-UA"/>
        </w:rPr>
        <w:t xml:space="preserve">алізації: </w:t>
      </w:r>
      <w:r w:rsidR="00F81002" w:rsidRPr="00F81002">
        <w:rPr>
          <w:sz w:val="24"/>
          <w:szCs w:val="24"/>
          <w:lang w:val="uk-UA"/>
        </w:rPr>
        <w:t>підключення до існуючих каналізаційних мереж.</w:t>
      </w:r>
      <w:r w:rsidRPr="00E60438">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E60438">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2218B0"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165B96">
        <w:rPr>
          <w:sz w:val="24"/>
          <w:szCs w:val="24"/>
          <w:lang w:val="uk-UA"/>
        </w:rPr>
        <w:t xml:space="preserve"> зоні садибної забудови</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lastRenderedPageBreak/>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Default="002313EB" w:rsidP="00E6333F">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Pr="00165B96" w:rsidRDefault="002001B8" w:rsidP="00E6333F">
      <w:pPr>
        <w:pStyle w:val="a4"/>
        <w:tabs>
          <w:tab w:val="left" w:pos="426"/>
        </w:tabs>
        <w:spacing w:line="276" w:lineRule="auto"/>
        <w:ind w:left="-567" w:right="-284" w:firstLine="709"/>
        <w:jc w:val="both"/>
        <w:rPr>
          <w:sz w:val="24"/>
          <w:szCs w:val="24"/>
        </w:rPr>
      </w:pP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lastRenderedPageBreak/>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lastRenderedPageBreak/>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9" w:name="_Toc75702"/>
      <w:bookmarkEnd w:id="8"/>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9"/>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2001B8" w:rsidRDefault="002001B8" w:rsidP="00E6333F">
      <w:pPr>
        <w:spacing w:line="276" w:lineRule="auto"/>
        <w:ind w:left="-567" w:right="-284" w:firstLine="709"/>
        <w:jc w:val="both"/>
        <w:rPr>
          <w:sz w:val="24"/>
          <w:szCs w:val="24"/>
          <w:lang w:val="uk-UA"/>
        </w:rPr>
      </w:pPr>
    </w:p>
    <w:p w:rsidR="002001B8" w:rsidRDefault="002001B8" w:rsidP="00E6333F">
      <w:pPr>
        <w:spacing w:line="276" w:lineRule="auto"/>
        <w:ind w:left="-567" w:right="-284" w:firstLine="709"/>
        <w:jc w:val="both"/>
        <w:rPr>
          <w:sz w:val="24"/>
          <w:szCs w:val="24"/>
          <w:lang w:val="uk-UA"/>
        </w:rPr>
      </w:pPr>
    </w:p>
    <w:p w:rsidR="002001B8" w:rsidRPr="00E6333F" w:rsidRDefault="002001B8" w:rsidP="00E6333F">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E6333F" w:rsidRPr="00E6333F" w:rsidRDefault="00662B31" w:rsidP="00E6333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D59F6" w:rsidRDefault="000D59F6"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Pr="00F07CB6" w:rsidRDefault="002001B8" w:rsidP="00F07CB6">
      <w:pPr>
        <w:pStyle w:val="a4"/>
        <w:tabs>
          <w:tab w:val="left" w:pos="142"/>
        </w:tabs>
        <w:spacing w:line="276" w:lineRule="auto"/>
        <w:ind w:left="-567" w:right="-284" w:firstLine="709"/>
        <w:jc w:val="both"/>
        <w:rPr>
          <w:sz w:val="24"/>
          <w:szCs w:val="24"/>
          <w:lang w:val="uk-UA"/>
        </w:rPr>
      </w:pP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lastRenderedPageBreak/>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F07CB6" w:rsidRDefault="0002746B" w:rsidP="00E6333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lastRenderedPageBreak/>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lastRenderedPageBreak/>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lastRenderedPageBreak/>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lastRenderedPageBreak/>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0" w:name="_Toc75716"/>
      <w:r w:rsidRPr="00646BC3">
        <w:rPr>
          <w:b/>
          <w:sz w:val="24"/>
          <w:szCs w:val="24"/>
          <w:lang w:val="uk-UA"/>
        </w:rPr>
        <w:t xml:space="preserve">державному та інших рівнях </w:t>
      </w:r>
      <w:bookmarkEnd w:id="10"/>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lastRenderedPageBreak/>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w:t>
      </w:r>
      <w:r w:rsidR="00076618" w:rsidRPr="00646BC3">
        <w:rPr>
          <w:sz w:val="24"/>
          <w:szCs w:val="24"/>
          <w:lang w:val="uk-UA"/>
        </w:rPr>
        <w:lastRenderedPageBreak/>
        <w:t xml:space="preserve">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646BC3" w:rsidRDefault="009D52EE" w:rsidP="00646BC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C159A7"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firstLine="204"/>
              <w:rPr>
                <w:lang w:val="uk-UA"/>
              </w:rPr>
            </w:pPr>
            <w:r w:rsidRPr="00C159A7">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proofErr w:type="spellStart"/>
            <w:r w:rsidRPr="00C159A7">
              <w:rPr>
                <w:b/>
                <w:lang w:val="uk-UA"/>
              </w:rPr>
              <w:t>Технологіч</w:t>
            </w:r>
            <w:proofErr w:type="spellEnd"/>
            <w:r w:rsidRPr="00C159A7">
              <w:rPr>
                <w:b/>
                <w:lang w:val="uk-UA"/>
              </w:rPr>
              <w:t xml:space="preserve">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jc w:val="center"/>
              <w:rPr>
                <w:lang w:val="uk-UA"/>
              </w:rPr>
            </w:pPr>
            <w:r w:rsidRPr="00C159A7">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Рішення по поводженню з відходами </w:t>
            </w:r>
          </w:p>
        </w:tc>
      </w:tr>
      <w:tr w:rsidR="009D52EE" w:rsidRPr="00C159A7"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9"/>
              <w:jc w:val="center"/>
              <w:rPr>
                <w:lang w:val="uk-UA"/>
              </w:rPr>
            </w:pPr>
            <w:r w:rsidRPr="00C159A7">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8"/>
              <w:jc w:val="center"/>
              <w:rPr>
                <w:lang w:val="uk-UA"/>
              </w:rPr>
            </w:pPr>
            <w:r w:rsidRPr="00C159A7">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2"/>
              <w:jc w:val="center"/>
              <w:rPr>
                <w:lang w:val="uk-UA"/>
              </w:rPr>
            </w:pPr>
            <w:r w:rsidRPr="00C159A7">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4"/>
              <w:jc w:val="center"/>
              <w:rPr>
                <w:lang w:val="uk-UA"/>
              </w:rPr>
            </w:pPr>
            <w:r w:rsidRPr="00C159A7">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3"/>
              <w:jc w:val="center"/>
              <w:rPr>
                <w:lang w:val="uk-UA"/>
              </w:rPr>
            </w:pPr>
            <w:r w:rsidRPr="00C159A7">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8"/>
              <w:jc w:val="center"/>
              <w:rPr>
                <w:lang w:val="uk-UA"/>
              </w:rPr>
            </w:pPr>
            <w:r w:rsidRPr="00C159A7">
              <w:rPr>
                <w:lang w:val="uk-UA"/>
              </w:rPr>
              <w:t xml:space="preserve">8 </w:t>
            </w:r>
          </w:p>
        </w:tc>
      </w:tr>
      <w:tr w:rsidR="009D52EE" w:rsidRPr="00C159A7" w:rsidTr="002E694E">
        <w:trPr>
          <w:trHeight w:val="165"/>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521"/>
              <w:rPr>
                <w:lang w:val="uk-UA"/>
              </w:rPr>
            </w:pPr>
            <w:r w:rsidRPr="00C159A7">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rPr>
                <w:lang w:val="uk-UA"/>
              </w:rPr>
            </w:pPr>
            <w:r w:rsidRPr="00C159A7">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7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tabs>
                <w:tab w:val="right" w:pos="2091"/>
              </w:tabs>
              <w:spacing w:after="4" w:line="259" w:lineRule="auto"/>
              <w:rPr>
                <w:lang w:val="uk-UA"/>
              </w:rPr>
            </w:pPr>
            <w:r w:rsidRPr="00C159A7">
              <w:rPr>
                <w:lang w:val="uk-UA"/>
              </w:rPr>
              <w:t xml:space="preserve">Відходи </w:t>
            </w:r>
            <w:r w:rsidRPr="00C159A7">
              <w:rPr>
                <w:lang w:val="uk-UA"/>
              </w:rPr>
              <w:tab/>
            </w:r>
            <w:proofErr w:type="spellStart"/>
            <w:r w:rsidRPr="00C159A7">
              <w:rPr>
                <w:lang w:val="uk-UA"/>
              </w:rPr>
              <w:t>масел</w:t>
            </w:r>
            <w:proofErr w:type="spellEnd"/>
            <w:r w:rsidRPr="00C159A7">
              <w:rPr>
                <w:lang w:val="uk-UA"/>
              </w:rPr>
              <w:t xml:space="preserve"> </w:t>
            </w:r>
          </w:p>
          <w:p w:rsidR="009D52EE" w:rsidRPr="00C159A7" w:rsidRDefault="009D52EE" w:rsidP="00931A47">
            <w:pPr>
              <w:spacing w:line="259" w:lineRule="auto"/>
              <w:ind w:left="8"/>
              <w:rPr>
                <w:lang w:val="uk-UA"/>
              </w:rPr>
            </w:pPr>
            <w:r w:rsidRPr="00C159A7">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30"/>
              <w:jc w:val="center"/>
              <w:rPr>
                <w:lang w:val="uk-UA"/>
              </w:rPr>
            </w:pPr>
            <w:r w:rsidRPr="00C159A7">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after="45" w:line="218" w:lineRule="auto"/>
              <w:ind w:left="8" w:right="8"/>
              <w:rPr>
                <w:lang w:val="uk-UA"/>
              </w:rPr>
            </w:pPr>
            <w:r w:rsidRPr="00C159A7">
              <w:rPr>
                <w:lang w:val="uk-UA"/>
              </w:rPr>
              <w:t xml:space="preserve">Матеріали обтиральні зіпсовані, відпрацьовані чи забруднені </w:t>
            </w:r>
          </w:p>
          <w:p w:rsidR="009D52EE" w:rsidRPr="00C159A7" w:rsidRDefault="009D52EE" w:rsidP="00931A47">
            <w:pPr>
              <w:spacing w:line="259" w:lineRule="auto"/>
              <w:ind w:left="8"/>
              <w:rPr>
                <w:lang w:val="uk-UA"/>
              </w:rPr>
            </w:pPr>
            <w:r w:rsidRPr="00C159A7">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lastRenderedPageBreak/>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8"/>
              <w:rPr>
                <w:lang w:val="uk-UA"/>
              </w:rPr>
            </w:pPr>
            <w:r w:rsidRPr="00C159A7">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2E694E">
        <w:trPr>
          <w:trHeight w:val="224"/>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15" w:hanging="14"/>
              <w:rPr>
                <w:lang w:val="uk-UA"/>
              </w:rPr>
            </w:pPr>
            <w:r w:rsidRPr="00C159A7">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Видаляється на полігон ТПВ за договором </w:t>
            </w:r>
          </w:p>
        </w:tc>
      </w:tr>
      <w:tr w:rsidR="009D52EE" w:rsidRPr="00C159A7"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50" w:firstLine="223"/>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Передається за договором спеціалізованій організації </w:t>
            </w:r>
          </w:p>
        </w:tc>
      </w:tr>
    </w:tbl>
    <w:p w:rsidR="00E6333F" w:rsidRPr="00E6333F" w:rsidRDefault="00E6333F" w:rsidP="00E6333F">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lastRenderedPageBreak/>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lastRenderedPageBreak/>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2218B0"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lastRenderedPageBreak/>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C979DC" w:rsidRDefault="00A31B08" w:rsidP="00E6333F">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sz w:val="24"/>
          <w:szCs w:val="24"/>
          <w:lang w:val="uk-UA"/>
        </w:rPr>
      </w:pPr>
    </w:p>
    <w:p w:rsidR="002001B8" w:rsidRDefault="002001B8" w:rsidP="00E6333F">
      <w:pPr>
        <w:spacing w:after="274" w:line="276" w:lineRule="auto"/>
        <w:ind w:left="-567" w:right="-426" w:firstLine="567"/>
        <w:jc w:val="both"/>
        <w:rPr>
          <w:b/>
          <w:sz w:val="24"/>
          <w:szCs w:val="24"/>
          <w:lang w:val="uk-UA"/>
        </w:rPr>
      </w:pP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2001B8" w:rsidP="002001B8">
      <w:pPr>
        <w:pStyle w:val="21"/>
        <w:spacing w:line="276" w:lineRule="auto"/>
        <w:ind w:left="-567" w:right="-426" w:firstLine="709"/>
        <w:jc w:val="both"/>
        <w:rPr>
          <w:sz w:val="24"/>
          <w:szCs w:val="24"/>
          <w:lang w:val="uk-UA"/>
        </w:rPr>
      </w:pPr>
      <w:bookmarkStart w:id="11" w:name="_GoBack"/>
      <w:bookmarkEnd w:id="11"/>
      <w:r w:rsidRPr="00F07CB6">
        <w:rPr>
          <w:sz w:val="24"/>
          <w:szCs w:val="24"/>
          <w:lang w:val="uk-UA"/>
        </w:rPr>
        <w:t xml:space="preserve">В межах території детального плану </w:t>
      </w:r>
      <w:r>
        <w:rPr>
          <w:sz w:val="24"/>
          <w:szCs w:val="24"/>
          <w:lang w:val="uk-UA"/>
        </w:rPr>
        <w:t>передбачено будівництво будівель торгівлі (магазину)</w:t>
      </w:r>
      <w:r w:rsidRPr="00811BA4">
        <w:rPr>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lastRenderedPageBreak/>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4338FA" w:rsidRDefault="00A31B08" w:rsidP="00E6333F">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E6333F" w:rsidRDefault="00E6333F"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Default="002001B8" w:rsidP="00E6333F">
      <w:pPr>
        <w:spacing w:line="276" w:lineRule="auto"/>
        <w:ind w:left="-567" w:right="-426" w:firstLine="720"/>
        <w:jc w:val="both"/>
        <w:rPr>
          <w:sz w:val="24"/>
          <w:szCs w:val="24"/>
          <w:lang w:val="uk-UA"/>
        </w:rPr>
      </w:pPr>
    </w:p>
    <w:p w:rsidR="002001B8" w:rsidRPr="00646BC3" w:rsidRDefault="002001B8" w:rsidP="00E6333F">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lastRenderedPageBreak/>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FE" w:rsidRDefault="005E0FFE" w:rsidP="002464B4">
      <w:r>
        <w:separator/>
      </w:r>
    </w:p>
  </w:endnote>
  <w:endnote w:type="continuationSeparator" w:id="0">
    <w:p w:rsidR="005E0FFE" w:rsidRDefault="005E0FFE"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EndPr/>
    <w:sdtContent>
      <w:p w:rsidR="00F81002" w:rsidRDefault="00F81002">
        <w:pPr>
          <w:pStyle w:val="a7"/>
          <w:jc w:val="center"/>
        </w:pPr>
        <w:r>
          <w:fldChar w:fldCharType="begin"/>
        </w:r>
        <w:r>
          <w:instrText>PAGE   \* MERGEFORMAT</w:instrText>
        </w:r>
        <w:r>
          <w:fldChar w:fldCharType="separate"/>
        </w:r>
        <w:r w:rsidR="002218B0">
          <w:rPr>
            <w:noProof/>
          </w:rPr>
          <w:t>21</w:t>
        </w:r>
        <w:r>
          <w:fldChar w:fldCharType="end"/>
        </w:r>
      </w:p>
    </w:sdtContent>
  </w:sdt>
  <w:p w:rsidR="00F81002" w:rsidRDefault="00F810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FE" w:rsidRDefault="005E0FFE" w:rsidP="002464B4">
      <w:r>
        <w:separator/>
      </w:r>
    </w:p>
  </w:footnote>
  <w:footnote w:type="continuationSeparator" w:id="0">
    <w:p w:rsidR="005E0FFE" w:rsidRDefault="005E0FFE"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25322"/>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18B0"/>
    <w:rsid w:val="00223E23"/>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5687"/>
    <w:rsid w:val="00594BE3"/>
    <w:rsid w:val="005E0FFE"/>
    <w:rsid w:val="005F5F65"/>
    <w:rsid w:val="006232C1"/>
    <w:rsid w:val="006277D5"/>
    <w:rsid w:val="00640322"/>
    <w:rsid w:val="00646BC3"/>
    <w:rsid w:val="00646E4E"/>
    <w:rsid w:val="00662B31"/>
    <w:rsid w:val="00663BA9"/>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6623"/>
    <w:rsid w:val="008366FE"/>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29C5-8332-4B71-B2EE-FFA1D0C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6</cp:revision>
  <cp:lastPrinted>2021-02-26T19:10:00Z</cp:lastPrinted>
  <dcterms:created xsi:type="dcterms:W3CDTF">2021-06-09T05:34:00Z</dcterms:created>
  <dcterms:modified xsi:type="dcterms:W3CDTF">2021-06-09T07:14:00Z</dcterms:modified>
</cp:coreProperties>
</file>